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F9A" w14:textId="375014F7" w:rsidR="0032266F" w:rsidRPr="00062030" w:rsidRDefault="0032266F" w:rsidP="0032266F">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92086D" w:rsidRPr="0092086D">
        <w:rPr>
          <w:rFonts w:cs="Arial"/>
          <w:sz w:val="24"/>
          <w:szCs w:val="24"/>
        </w:rPr>
        <w:t>R4-2304369</w:t>
      </w:r>
    </w:p>
    <w:p w14:paraId="33E4A000" w14:textId="77777777" w:rsidR="0032266F" w:rsidRPr="00062030" w:rsidRDefault="0032266F" w:rsidP="0032266F">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635895FD" w14:textId="77777777" w:rsidR="00537144" w:rsidRPr="00E461DD" w:rsidRDefault="00537144" w:rsidP="0032266F">
      <w:pPr>
        <w:tabs>
          <w:tab w:val="left" w:pos="1985"/>
        </w:tabs>
        <w:spacing w:after="0"/>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587EEAAB" w14:textId="58DECAFC" w:rsidR="00537144" w:rsidRPr="00E461DD" w:rsidRDefault="00537144" w:rsidP="0032266F">
      <w:pPr>
        <w:tabs>
          <w:tab w:val="left" w:pos="1985"/>
        </w:tabs>
        <w:spacing w:after="0"/>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7E4E66" w:rsidRPr="007E4E66">
        <w:rPr>
          <w:rFonts w:ascii="Arial" w:hAnsi="Arial"/>
          <w:bCs/>
          <w:sz w:val="24"/>
          <w:lang w:val="en-US"/>
        </w:rPr>
        <w:t>Conditions of UE multiple Rx-beam based DL reception</w:t>
      </w:r>
    </w:p>
    <w:p w14:paraId="17FD8135" w14:textId="65F8A88C" w:rsidR="00537144" w:rsidRPr="00E461DD" w:rsidRDefault="00537144" w:rsidP="0032266F">
      <w:pPr>
        <w:tabs>
          <w:tab w:val="left" w:pos="1985"/>
        </w:tabs>
        <w:spacing w:after="0"/>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795888" w:rsidRPr="00795888">
        <w:rPr>
          <w:rFonts w:ascii="Arial" w:hAnsi="Arial"/>
          <w:bCs/>
          <w:sz w:val="24"/>
          <w:lang w:val="en-US"/>
        </w:rPr>
        <w:t>5.8.3.1</w:t>
      </w:r>
    </w:p>
    <w:p w14:paraId="4136EB62" w14:textId="3B3BD59A" w:rsidR="00410DF2" w:rsidRPr="00E75BD8" w:rsidRDefault="00410DF2" w:rsidP="0032266F">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sidR="00F94AE0">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56FA2B23" w14:textId="1B0352C1" w:rsidR="007D7D6F" w:rsidRPr="007D7D6F" w:rsidRDefault="008C15A0" w:rsidP="006B3FEC">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6B3FEC">
        <w:rPr>
          <w:lang w:val="en-US"/>
        </w:rPr>
        <w:t>c</w:t>
      </w:r>
      <w:r w:rsidR="006B3FEC" w:rsidRPr="007D7D6F">
        <w:rPr>
          <w:lang w:val="en-US"/>
        </w:rPr>
        <w:t>onditions of UE multiple Rx-beam based DL reception</w:t>
      </w:r>
    </w:p>
    <w:p w14:paraId="7B733F33" w14:textId="3296A277" w:rsidR="00CC52A1" w:rsidRDefault="00BF41B5" w:rsidP="00AD4B20">
      <w:pPr>
        <w:pStyle w:val="Heading1"/>
        <w:rPr>
          <w:lang w:val="en-US"/>
        </w:rPr>
      </w:pPr>
      <w:r>
        <w:rPr>
          <w:lang w:val="en-US"/>
        </w:rPr>
        <w:t>Discussion</w:t>
      </w:r>
    </w:p>
    <w:p w14:paraId="7C5E1C3B" w14:textId="1F68F3F5" w:rsidR="00493472" w:rsidRDefault="001A4A4F" w:rsidP="006F1BBE">
      <w:pPr>
        <w:rPr>
          <w:lang w:val="en-US"/>
        </w:rPr>
      </w:pPr>
      <w:r>
        <w:rPr>
          <w:lang w:val="en-US"/>
        </w:rPr>
        <w:t xml:space="preserve">There should be no question that UE capable of dual simultaneous beams will not always form dual beams. Depending on radio channel condition and NW configurations, UE may opportunistically enable dual Rx beams. For instance, there are some specific NW configurations from which UE can </w:t>
      </w:r>
      <w:r w:rsidR="00003D54">
        <w:rPr>
          <w:lang w:val="en-US"/>
        </w:rPr>
        <w:t xml:space="preserve">infer </w:t>
      </w:r>
      <w:r>
        <w:rPr>
          <w:lang w:val="en-US"/>
        </w:rPr>
        <w:t>it is already in or in the course of dual-Rx based mTRP mode, e.g. configur</w:t>
      </w:r>
      <w:r w:rsidR="006B7AEF">
        <w:rPr>
          <w:lang w:val="en-US"/>
        </w:rPr>
        <w:t>ations of</w:t>
      </w:r>
      <w:r>
        <w:rPr>
          <w:lang w:val="en-US"/>
        </w:rPr>
        <w:t xml:space="preserve"> TCI list for PDSCH reception</w:t>
      </w:r>
      <w:r w:rsidR="006B7AEF">
        <w:rPr>
          <w:lang w:val="en-US"/>
        </w:rPr>
        <w:t>, CORESET, Group-based L1-RSRP,</w:t>
      </w:r>
      <w:r>
        <w:rPr>
          <w:lang w:val="en-US"/>
        </w:rPr>
        <w:t xml:space="preserve"> </w:t>
      </w:r>
      <w:r w:rsidR="006B7AEF">
        <w:rPr>
          <w:lang w:val="en-US"/>
        </w:rPr>
        <w:t>etc</w:t>
      </w:r>
      <w:r>
        <w:rPr>
          <w:lang w:val="en-US"/>
        </w:rPr>
        <w:t>.</w:t>
      </w:r>
      <w:r w:rsidR="009A2EB5">
        <w:rPr>
          <w:lang w:val="en-US"/>
        </w:rPr>
        <w:t xml:space="preserve"> If NW configurations and radio channel condition are such that UE does not expect an mTRP operation mode anytime soon, RAN4 minimum requirements should not force the UE to enable dual Rx beams all the time.</w:t>
      </w:r>
    </w:p>
    <w:p w14:paraId="1CFC555C" w14:textId="77777777" w:rsidR="006B7AEF" w:rsidRPr="00493472" w:rsidRDefault="006B7AEF" w:rsidP="006F1BBE">
      <w:pPr>
        <w:rPr>
          <w:lang w:val="en-US"/>
        </w:rPr>
      </w:pPr>
    </w:p>
    <w:p w14:paraId="0DE624F4" w14:textId="69F7FDA7" w:rsidR="00920B4E" w:rsidRDefault="00920B4E" w:rsidP="00920B4E">
      <w:pPr>
        <w:jc w:val="both"/>
        <w:rPr>
          <w:b/>
          <w:bCs/>
        </w:rPr>
      </w:pPr>
      <w:r w:rsidRPr="006B0359">
        <w:rPr>
          <w:b/>
          <w:bCs/>
        </w:rPr>
        <w:t xml:space="preserve">Proposal </w:t>
      </w:r>
      <w:r w:rsidR="00F54696">
        <w:rPr>
          <w:b/>
          <w:bCs/>
        </w:rPr>
        <w:t>1</w:t>
      </w:r>
      <w:r w:rsidRPr="006B0359">
        <w:rPr>
          <w:b/>
          <w:bCs/>
        </w:rPr>
        <w:t xml:space="preserve">: </w:t>
      </w:r>
      <w:r w:rsidRPr="003D6054">
        <w:rPr>
          <w:b/>
          <w:bCs/>
        </w:rPr>
        <w:t xml:space="preserve">RAN4 to not </w:t>
      </w:r>
      <w:r w:rsidR="00EC094B">
        <w:rPr>
          <w:b/>
          <w:bCs/>
        </w:rPr>
        <w:t>assume UE receives signals/channels from mTRP using simultaneously formed multiple Rx beams when any of the following conditions are n</w:t>
      </w:r>
      <w:r w:rsidR="00F620F2">
        <w:rPr>
          <w:b/>
          <w:bCs/>
        </w:rPr>
        <w:t>ot met:</w:t>
      </w:r>
    </w:p>
    <w:p w14:paraId="03F6D93F" w14:textId="77777777" w:rsidR="000A35A5" w:rsidRPr="00F620F2" w:rsidRDefault="000A35A5" w:rsidP="000A35A5">
      <w:pPr>
        <w:pStyle w:val="ListParagraph"/>
        <w:numPr>
          <w:ilvl w:val="0"/>
          <w:numId w:val="44"/>
        </w:numPr>
        <w:rPr>
          <w:b/>
          <w:bCs/>
          <w:lang w:val="en-US"/>
        </w:rPr>
      </w:pPr>
      <w:r w:rsidRPr="00F620F2">
        <w:rPr>
          <w:b/>
          <w:bCs/>
          <w:lang w:val="en-US"/>
        </w:rPr>
        <w:t>UE is configured with active TCI states from two TRPs, and the association between the TCI states and the TRPs is explicitly known to the UE, i.e.</w:t>
      </w:r>
    </w:p>
    <w:p w14:paraId="2FF8F0D2" w14:textId="77777777" w:rsidR="000A35A5" w:rsidRPr="00F620F2" w:rsidRDefault="000A35A5" w:rsidP="000A35A5">
      <w:pPr>
        <w:pStyle w:val="ListParagraph"/>
        <w:numPr>
          <w:ilvl w:val="1"/>
          <w:numId w:val="44"/>
        </w:numPr>
        <w:rPr>
          <w:b/>
          <w:bCs/>
          <w:lang w:val="en-US"/>
        </w:rPr>
      </w:pPr>
      <w:r w:rsidRPr="00F620F2">
        <w:rPr>
          <w:b/>
          <w:bCs/>
          <w:lang w:val="en-US"/>
        </w:rPr>
        <w:t>(single DCI based mTRP) at least one of the codepoints in the active TCI list for PDSCH includes two reference resources for qcl-TypeD from respective TRPs</w:t>
      </w:r>
    </w:p>
    <w:p w14:paraId="7C3B8532" w14:textId="77777777" w:rsidR="000A35A5" w:rsidRPr="00F620F2" w:rsidRDefault="000A35A5" w:rsidP="000A35A5">
      <w:pPr>
        <w:pStyle w:val="ListParagraph"/>
        <w:numPr>
          <w:ilvl w:val="1"/>
          <w:numId w:val="44"/>
        </w:numPr>
        <w:rPr>
          <w:b/>
          <w:bCs/>
          <w:lang w:val="en-US"/>
        </w:rPr>
      </w:pPr>
      <w:r w:rsidRPr="00F620F2">
        <w:rPr>
          <w:b/>
          <w:bCs/>
          <w:lang w:val="en-US"/>
        </w:rPr>
        <w:t>(multi DCI based mTRP) two CORESETs QCL’ed with two reference resources for qcl-TypeD are configured</w:t>
      </w:r>
    </w:p>
    <w:p w14:paraId="1271D85C" w14:textId="633AF521" w:rsidR="000A35A5" w:rsidRPr="00F620F2" w:rsidRDefault="000A35A5" w:rsidP="000A35A5">
      <w:pPr>
        <w:pStyle w:val="ListParagraph"/>
        <w:numPr>
          <w:ilvl w:val="1"/>
          <w:numId w:val="44"/>
        </w:numPr>
        <w:rPr>
          <w:b/>
          <w:bCs/>
          <w:lang w:val="en-US"/>
        </w:rPr>
      </w:pPr>
      <w:r w:rsidRPr="00F620F2">
        <w:rPr>
          <w:b/>
          <w:bCs/>
          <w:lang w:val="en-US"/>
        </w:rPr>
        <w:t>SNR &gt; XdB</w:t>
      </w:r>
      <w:r w:rsidR="0063317B">
        <w:rPr>
          <w:b/>
          <w:bCs/>
          <w:lang w:val="en-US"/>
        </w:rPr>
        <w:t xml:space="preserve"> from each TRP</w:t>
      </w:r>
      <w:r w:rsidRPr="00F620F2">
        <w:rPr>
          <w:b/>
          <w:bCs/>
          <w:lang w:val="en-US"/>
        </w:rPr>
        <w:t xml:space="preserve">, </w:t>
      </w:r>
      <w:r w:rsidR="001A4A4F">
        <w:rPr>
          <w:b/>
          <w:bCs/>
          <w:lang w:val="en-US"/>
        </w:rPr>
        <w:t xml:space="preserve">e.g. SNR regime </w:t>
      </w:r>
      <w:r w:rsidRPr="00F620F2">
        <w:rPr>
          <w:b/>
          <w:bCs/>
          <w:lang w:val="en-US"/>
        </w:rPr>
        <w:t>where rank &gt; 2 is expected</w:t>
      </w:r>
    </w:p>
    <w:p w14:paraId="34860B61" w14:textId="0DE87AEE" w:rsidR="000A35A5" w:rsidRDefault="000A35A5" w:rsidP="000A35A5">
      <w:pPr>
        <w:pStyle w:val="ListParagraph"/>
        <w:numPr>
          <w:ilvl w:val="0"/>
          <w:numId w:val="44"/>
        </w:numPr>
        <w:rPr>
          <w:b/>
          <w:bCs/>
          <w:lang w:val="en-US"/>
        </w:rPr>
      </w:pPr>
      <w:r w:rsidRPr="00F620F2">
        <w:rPr>
          <w:b/>
          <w:bCs/>
          <w:lang w:val="en-US"/>
        </w:rPr>
        <w:t>Group-based L1-RSRP measurement is configured based on L3 measurements for the same measurement resources</w:t>
      </w:r>
    </w:p>
    <w:p w14:paraId="2AC0A872" w14:textId="18750F9F" w:rsidR="0094790F" w:rsidRPr="00F620F2" w:rsidRDefault="0094790F" w:rsidP="000A35A5">
      <w:pPr>
        <w:pStyle w:val="ListParagraph"/>
        <w:numPr>
          <w:ilvl w:val="0"/>
          <w:numId w:val="44"/>
        </w:numPr>
        <w:rPr>
          <w:b/>
          <w:bCs/>
          <w:lang w:val="en-US"/>
        </w:rPr>
      </w:pPr>
      <w:r>
        <w:rPr>
          <w:b/>
          <w:bCs/>
          <w:lang w:val="en-US"/>
        </w:rPr>
        <w:t xml:space="preserve">Note that the number of UE cell search engines </w:t>
      </w:r>
      <w:r w:rsidR="00A42AAA">
        <w:rPr>
          <w:b/>
          <w:bCs/>
          <w:lang w:val="en-US"/>
        </w:rPr>
        <w:t>should remain the sa</w:t>
      </w:r>
      <w:r w:rsidR="008D4C06">
        <w:rPr>
          <w:b/>
          <w:bCs/>
          <w:lang w:val="en-US"/>
        </w:rPr>
        <w:t>me, irrespective of the number of active UE Rx beams</w:t>
      </w:r>
      <w:r w:rsidR="00A42AAA">
        <w:rPr>
          <w:b/>
          <w:bCs/>
          <w:lang w:val="en-US"/>
        </w:rPr>
        <w:t>.</w:t>
      </w:r>
    </w:p>
    <w:p w14:paraId="0936945B" w14:textId="77777777" w:rsidR="00920B4E" w:rsidRPr="000A35A5" w:rsidRDefault="00920B4E" w:rsidP="006F1BBE">
      <w:pPr>
        <w:rPr>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33A61F6D" w14:textId="5FE4D797" w:rsidR="0063317B" w:rsidRDefault="0063317B" w:rsidP="0063317B">
      <w:pPr>
        <w:jc w:val="both"/>
        <w:rPr>
          <w:b/>
          <w:bCs/>
        </w:rPr>
      </w:pPr>
      <w:r w:rsidRPr="006B0359">
        <w:rPr>
          <w:b/>
          <w:bCs/>
        </w:rPr>
        <w:t xml:space="preserve">Proposal </w:t>
      </w:r>
      <w:r w:rsidR="006B3FEC">
        <w:rPr>
          <w:b/>
          <w:bCs/>
        </w:rPr>
        <w:t>1</w:t>
      </w:r>
      <w:r w:rsidRPr="006B0359">
        <w:rPr>
          <w:b/>
          <w:bCs/>
        </w:rPr>
        <w:t xml:space="preserve">: </w:t>
      </w:r>
      <w:r w:rsidRPr="003D6054">
        <w:rPr>
          <w:b/>
          <w:bCs/>
        </w:rPr>
        <w:t xml:space="preserve">RAN4 to not </w:t>
      </w:r>
      <w:r>
        <w:rPr>
          <w:b/>
          <w:bCs/>
        </w:rPr>
        <w:t>assume UE receives signals/channels from mTRP using simultaneously formed multiple Rx beams when any of the following conditions are not met:</w:t>
      </w:r>
    </w:p>
    <w:p w14:paraId="07105E49" w14:textId="77777777" w:rsidR="0063317B" w:rsidRPr="00F620F2" w:rsidRDefault="0063317B" w:rsidP="0063317B">
      <w:pPr>
        <w:pStyle w:val="ListParagraph"/>
        <w:numPr>
          <w:ilvl w:val="0"/>
          <w:numId w:val="44"/>
        </w:numPr>
        <w:rPr>
          <w:b/>
          <w:bCs/>
          <w:lang w:val="en-US"/>
        </w:rPr>
      </w:pPr>
      <w:r w:rsidRPr="00F620F2">
        <w:rPr>
          <w:b/>
          <w:bCs/>
          <w:lang w:val="en-US"/>
        </w:rPr>
        <w:t>UE is configured with active TCI states from two TRPs, and the association between the TCI states and the TRPs is explicitly known to the UE, i.e.</w:t>
      </w:r>
    </w:p>
    <w:p w14:paraId="19FDC727" w14:textId="77777777" w:rsidR="0063317B" w:rsidRPr="00F620F2" w:rsidRDefault="0063317B" w:rsidP="0063317B">
      <w:pPr>
        <w:pStyle w:val="ListParagraph"/>
        <w:numPr>
          <w:ilvl w:val="1"/>
          <w:numId w:val="44"/>
        </w:numPr>
        <w:rPr>
          <w:b/>
          <w:bCs/>
          <w:lang w:val="en-US"/>
        </w:rPr>
      </w:pPr>
      <w:r w:rsidRPr="00F620F2">
        <w:rPr>
          <w:b/>
          <w:bCs/>
          <w:lang w:val="en-US"/>
        </w:rPr>
        <w:t>(single DCI based mTRP) at least one of the codepoints in the active TCI list for PDSCH includes two reference resources for qcl-TypeD from respective TRPs</w:t>
      </w:r>
    </w:p>
    <w:p w14:paraId="37CDD239" w14:textId="77777777" w:rsidR="0063317B" w:rsidRPr="00F620F2" w:rsidRDefault="0063317B" w:rsidP="0063317B">
      <w:pPr>
        <w:pStyle w:val="ListParagraph"/>
        <w:numPr>
          <w:ilvl w:val="1"/>
          <w:numId w:val="44"/>
        </w:numPr>
        <w:rPr>
          <w:b/>
          <w:bCs/>
          <w:lang w:val="en-US"/>
        </w:rPr>
      </w:pPr>
      <w:r w:rsidRPr="00F620F2">
        <w:rPr>
          <w:b/>
          <w:bCs/>
          <w:lang w:val="en-US"/>
        </w:rPr>
        <w:t>(multi DCI based mTRP) two CORESETs QCL’ed with two reference resources for qcl-TypeD are configured</w:t>
      </w:r>
    </w:p>
    <w:p w14:paraId="6E06B13E" w14:textId="77777777" w:rsidR="0063317B" w:rsidRPr="00F620F2" w:rsidRDefault="0063317B" w:rsidP="0063317B">
      <w:pPr>
        <w:pStyle w:val="ListParagraph"/>
        <w:numPr>
          <w:ilvl w:val="1"/>
          <w:numId w:val="44"/>
        </w:numPr>
        <w:rPr>
          <w:b/>
          <w:bCs/>
          <w:lang w:val="en-US"/>
        </w:rPr>
      </w:pPr>
      <w:r w:rsidRPr="00F620F2">
        <w:rPr>
          <w:b/>
          <w:bCs/>
          <w:lang w:val="en-US"/>
        </w:rPr>
        <w:t>SNR &gt; XdB</w:t>
      </w:r>
      <w:r>
        <w:rPr>
          <w:b/>
          <w:bCs/>
          <w:lang w:val="en-US"/>
        </w:rPr>
        <w:t xml:space="preserve"> from each TRP</w:t>
      </w:r>
      <w:r w:rsidRPr="00F620F2">
        <w:rPr>
          <w:b/>
          <w:bCs/>
          <w:lang w:val="en-US"/>
        </w:rPr>
        <w:t xml:space="preserve">, </w:t>
      </w:r>
      <w:r>
        <w:rPr>
          <w:b/>
          <w:bCs/>
          <w:lang w:val="en-US"/>
        </w:rPr>
        <w:t xml:space="preserve">e.g. SNR regime </w:t>
      </w:r>
      <w:r w:rsidRPr="00F620F2">
        <w:rPr>
          <w:b/>
          <w:bCs/>
          <w:lang w:val="en-US"/>
        </w:rPr>
        <w:t>where rank &gt; 2 is expected</w:t>
      </w:r>
    </w:p>
    <w:p w14:paraId="11CA7DE1" w14:textId="77777777" w:rsidR="0063317B" w:rsidRDefault="0063317B" w:rsidP="0063317B">
      <w:pPr>
        <w:pStyle w:val="ListParagraph"/>
        <w:numPr>
          <w:ilvl w:val="0"/>
          <w:numId w:val="44"/>
        </w:numPr>
        <w:rPr>
          <w:b/>
          <w:bCs/>
          <w:lang w:val="en-US"/>
        </w:rPr>
      </w:pPr>
      <w:r w:rsidRPr="00F620F2">
        <w:rPr>
          <w:b/>
          <w:bCs/>
          <w:lang w:val="en-US"/>
        </w:rPr>
        <w:t>Group-based L1-RSRP measurement is configured based on L3 measurements for the same measurement resources</w:t>
      </w:r>
    </w:p>
    <w:p w14:paraId="1BCCC654" w14:textId="42A9B31F" w:rsidR="00B97D6E" w:rsidRPr="006B3FEC" w:rsidRDefault="0063317B" w:rsidP="00C020F9">
      <w:pPr>
        <w:pStyle w:val="ListParagraph"/>
        <w:numPr>
          <w:ilvl w:val="0"/>
          <w:numId w:val="44"/>
        </w:numPr>
        <w:rPr>
          <w:lang w:val="en-US" w:eastAsia="en-GB"/>
        </w:rPr>
      </w:pPr>
      <w:r w:rsidRPr="006B3FEC">
        <w:rPr>
          <w:b/>
          <w:bCs/>
          <w:lang w:val="en-US"/>
        </w:rPr>
        <w:t>Note that the number of UE cell search engines should remain the same, irrespective of the number of active UE Rx beams.</w:t>
      </w:r>
    </w:p>
    <w:sectPr w:rsidR="00B97D6E" w:rsidRPr="006B3FE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4D20DF"/>
    <w:multiLevelType w:val="hybridMultilevel"/>
    <w:tmpl w:val="871E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9826F9"/>
    <w:multiLevelType w:val="hybridMultilevel"/>
    <w:tmpl w:val="A510003E"/>
    <w:lvl w:ilvl="0" w:tplc="C700FEAA">
      <w:start w:val="1"/>
      <w:numFmt w:val="bullet"/>
      <w:lvlText w:val="•"/>
      <w:lvlJc w:val="left"/>
      <w:pPr>
        <w:tabs>
          <w:tab w:val="num" w:pos="720"/>
        </w:tabs>
        <w:ind w:left="720" w:hanging="360"/>
      </w:pPr>
      <w:rPr>
        <w:rFonts w:ascii="Microsoft Sans Serif" w:hAnsi="Microsoft Sans Serif" w:hint="default"/>
      </w:rPr>
    </w:lvl>
    <w:lvl w:ilvl="1" w:tplc="611003EE" w:tentative="1">
      <w:start w:val="1"/>
      <w:numFmt w:val="bullet"/>
      <w:lvlText w:val="•"/>
      <w:lvlJc w:val="left"/>
      <w:pPr>
        <w:tabs>
          <w:tab w:val="num" w:pos="1440"/>
        </w:tabs>
        <w:ind w:left="1440" w:hanging="360"/>
      </w:pPr>
      <w:rPr>
        <w:rFonts w:ascii="Microsoft Sans Serif" w:hAnsi="Microsoft Sans Serif" w:hint="default"/>
      </w:rPr>
    </w:lvl>
    <w:lvl w:ilvl="2" w:tplc="2A6CFEAC">
      <w:start w:val="1"/>
      <w:numFmt w:val="bullet"/>
      <w:lvlText w:val="•"/>
      <w:lvlJc w:val="left"/>
      <w:pPr>
        <w:tabs>
          <w:tab w:val="num" w:pos="2160"/>
        </w:tabs>
        <w:ind w:left="2160" w:hanging="360"/>
      </w:pPr>
      <w:rPr>
        <w:rFonts w:ascii="Microsoft Sans Serif" w:hAnsi="Microsoft Sans Serif" w:hint="default"/>
      </w:rPr>
    </w:lvl>
    <w:lvl w:ilvl="3" w:tplc="92A659F0">
      <w:numFmt w:val="bullet"/>
      <w:lvlText w:val="o"/>
      <w:lvlJc w:val="left"/>
      <w:pPr>
        <w:tabs>
          <w:tab w:val="num" w:pos="2880"/>
        </w:tabs>
        <w:ind w:left="2880" w:hanging="360"/>
      </w:pPr>
      <w:rPr>
        <w:rFonts w:ascii="Courier New" w:hAnsi="Courier New" w:hint="default"/>
      </w:rPr>
    </w:lvl>
    <w:lvl w:ilvl="4" w:tplc="E7764B48" w:tentative="1">
      <w:start w:val="1"/>
      <w:numFmt w:val="bullet"/>
      <w:lvlText w:val="•"/>
      <w:lvlJc w:val="left"/>
      <w:pPr>
        <w:tabs>
          <w:tab w:val="num" w:pos="3600"/>
        </w:tabs>
        <w:ind w:left="3600" w:hanging="360"/>
      </w:pPr>
      <w:rPr>
        <w:rFonts w:ascii="Microsoft Sans Serif" w:hAnsi="Microsoft Sans Serif" w:hint="default"/>
      </w:rPr>
    </w:lvl>
    <w:lvl w:ilvl="5" w:tplc="58263B70" w:tentative="1">
      <w:start w:val="1"/>
      <w:numFmt w:val="bullet"/>
      <w:lvlText w:val="•"/>
      <w:lvlJc w:val="left"/>
      <w:pPr>
        <w:tabs>
          <w:tab w:val="num" w:pos="4320"/>
        </w:tabs>
        <w:ind w:left="4320" w:hanging="360"/>
      </w:pPr>
      <w:rPr>
        <w:rFonts w:ascii="Microsoft Sans Serif" w:hAnsi="Microsoft Sans Serif" w:hint="default"/>
      </w:rPr>
    </w:lvl>
    <w:lvl w:ilvl="6" w:tplc="837A4E1A" w:tentative="1">
      <w:start w:val="1"/>
      <w:numFmt w:val="bullet"/>
      <w:lvlText w:val="•"/>
      <w:lvlJc w:val="left"/>
      <w:pPr>
        <w:tabs>
          <w:tab w:val="num" w:pos="5040"/>
        </w:tabs>
        <w:ind w:left="5040" w:hanging="360"/>
      </w:pPr>
      <w:rPr>
        <w:rFonts w:ascii="Microsoft Sans Serif" w:hAnsi="Microsoft Sans Serif" w:hint="default"/>
      </w:rPr>
    </w:lvl>
    <w:lvl w:ilvl="7" w:tplc="95F8C04A" w:tentative="1">
      <w:start w:val="1"/>
      <w:numFmt w:val="bullet"/>
      <w:lvlText w:val="•"/>
      <w:lvlJc w:val="left"/>
      <w:pPr>
        <w:tabs>
          <w:tab w:val="num" w:pos="5760"/>
        </w:tabs>
        <w:ind w:left="5760" w:hanging="360"/>
      </w:pPr>
      <w:rPr>
        <w:rFonts w:ascii="Microsoft Sans Serif" w:hAnsi="Microsoft Sans Serif" w:hint="default"/>
      </w:rPr>
    </w:lvl>
    <w:lvl w:ilvl="8" w:tplc="4E72E4CC"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5362294"/>
    <w:multiLevelType w:val="hybridMultilevel"/>
    <w:tmpl w:val="63343E6C"/>
    <w:lvl w:ilvl="0" w:tplc="08F64628">
      <w:start w:val="1"/>
      <w:numFmt w:val="bullet"/>
      <w:lvlText w:val="•"/>
      <w:lvlJc w:val="left"/>
      <w:pPr>
        <w:tabs>
          <w:tab w:val="num" w:pos="360"/>
        </w:tabs>
        <w:ind w:left="360" w:hanging="360"/>
      </w:pPr>
      <w:rPr>
        <w:rFonts w:ascii="Arial" w:hAnsi="Arial" w:hint="default"/>
      </w:rPr>
    </w:lvl>
    <w:lvl w:ilvl="1" w:tplc="EC28429C">
      <w:numFmt w:val="bullet"/>
      <w:lvlText w:val="•"/>
      <w:lvlJc w:val="left"/>
      <w:pPr>
        <w:tabs>
          <w:tab w:val="num" w:pos="1080"/>
        </w:tabs>
        <w:ind w:left="1080" w:hanging="360"/>
      </w:pPr>
      <w:rPr>
        <w:rFonts w:ascii="Arial" w:hAnsi="Arial" w:hint="default"/>
      </w:rPr>
    </w:lvl>
    <w:lvl w:ilvl="2" w:tplc="EB0CB4F0">
      <w:numFmt w:val="bullet"/>
      <w:lvlText w:val="•"/>
      <w:lvlJc w:val="left"/>
      <w:pPr>
        <w:tabs>
          <w:tab w:val="num" w:pos="1800"/>
        </w:tabs>
        <w:ind w:left="1800" w:hanging="360"/>
      </w:pPr>
      <w:rPr>
        <w:rFonts w:ascii="Arial" w:hAnsi="Arial" w:hint="default"/>
      </w:rPr>
    </w:lvl>
    <w:lvl w:ilvl="3" w:tplc="F98CFCE2">
      <w:numFmt w:val="bullet"/>
      <w:lvlText w:val="–"/>
      <w:lvlJc w:val="left"/>
      <w:pPr>
        <w:tabs>
          <w:tab w:val="num" w:pos="2520"/>
        </w:tabs>
        <w:ind w:left="2520" w:hanging="360"/>
      </w:pPr>
      <w:rPr>
        <w:rFonts w:ascii="Arial" w:hAnsi="Arial" w:hint="default"/>
      </w:rPr>
    </w:lvl>
    <w:lvl w:ilvl="4" w:tplc="00180142">
      <w:numFmt w:val="bullet"/>
      <w:lvlText w:val="»"/>
      <w:lvlJc w:val="left"/>
      <w:pPr>
        <w:tabs>
          <w:tab w:val="num" w:pos="3240"/>
        </w:tabs>
        <w:ind w:left="3240" w:hanging="360"/>
      </w:pPr>
      <w:rPr>
        <w:rFonts w:ascii="Arial" w:hAnsi="Arial" w:hint="default"/>
      </w:rPr>
    </w:lvl>
    <w:lvl w:ilvl="5" w:tplc="7FAA3DCA" w:tentative="1">
      <w:start w:val="1"/>
      <w:numFmt w:val="bullet"/>
      <w:lvlText w:val="•"/>
      <w:lvlJc w:val="left"/>
      <w:pPr>
        <w:tabs>
          <w:tab w:val="num" w:pos="3960"/>
        </w:tabs>
        <w:ind w:left="3960" w:hanging="360"/>
      </w:pPr>
      <w:rPr>
        <w:rFonts w:ascii="Arial" w:hAnsi="Arial" w:hint="default"/>
      </w:rPr>
    </w:lvl>
    <w:lvl w:ilvl="6" w:tplc="F27C4396" w:tentative="1">
      <w:start w:val="1"/>
      <w:numFmt w:val="bullet"/>
      <w:lvlText w:val="•"/>
      <w:lvlJc w:val="left"/>
      <w:pPr>
        <w:tabs>
          <w:tab w:val="num" w:pos="4680"/>
        </w:tabs>
        <w:ind w:left="4680" w:hanging="360"/>
      </w:pPr>
      <w:rPr>
        <w:rFonts w:ascii="Arial" w:hAnsi="Arial" w:hint="default"/>
      </w:rPr>
    </w:lvl>
    <w:lvl w:ilvl="7" w:tplc="20409A58" w:tentative="1">
      <w:start w:val="1"/>
      <w:numFmt w:val="bullet"/>
      <w:lvlText w:val="•"/>
      <w:lvlJc w:val="left"/>
      <w:pPr>
        <w:tabs>
          <w:tab w:val="num" w:pos="5400"/>
        </w:tabs>
        <w:ind w:left="5400" w:hanging="360"/>
      </w:pPr>
      <w:rPr>
        <w:rFonts w:ascii="Arial" w:hAnsi="Arial" w:hint="default"/>
      </w:rPr>
    </w:lvl>
    <w:lvl w:ilvl="8" w:tplc="C05C03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9"/>
  </w:num>
  <w:num w:numId="2" w16cid:durableId="1818299601">
    <w:abstractNumId w:val="44"/>
  </w:num>
  <w:num w:numId="3" w16cid:durableId="822310547">
    <w:abstractNumId w:val="25"/>
  </w:num>
  <w:num w:numId="4" w16cid:durableId="1022324696">
    <w:abstractNumId w:val="12"/>
  </w:num>
  <w:num w:numId="5" w16cid:durableId="1224174323">
    <w:abstractNumId w:val="3"/>
  </w:num>
  <w:num w:numId="6" w16cid:durableId="789395670">
    <w:abstractNumId w:val="37"/>
  </w:num>
  <w:num w:numId="7" w16cid:durableId="1395664146">
    <w:abstractNumId w:val="13"/>
  </w:num>
  <w:num w:numId="8" w16cid:durableId="1404523643">
    <w:abstractNumId w:val="21"/>
  </w:num>
  <w:num w:numId="9" w16cid:durableId="543058064">
    <w:abstractNumId w:val="45"/>
  </w:num>
  <w:num w:numId="10" w16cid:durableId="185564226">
    <w:abstractNumId w:val="42"/>
  </w:num>
  <w:num w:numId="11" w16cid:durableId="165559958">
    <w:abstractNumId w:val="41"/>
  </w:num>
  <w:num w:numId="12" w16cid:durableId="1653867933">
    <w:abstractNumId w:val="6"/>
  </w:num>
  <w:num w:numId="13" w16cid:durableId="2048480466">
    <w:abstractNumId w:val="16"/>
  </w:num>
  <w:num w:numId="14" w16cid:durableId="123162328">
    <w:abstractNumId w:val="19"/>
  </w:num>
  <w:num w:numId="15" w16cid:durableId="311373112">
    <w:abstractNumId w:val="34"/>
  </w:num>
  <w:num w:numId="16" w16cid:durableId="1054475442">
    <w:abstractNumId w:val="20"/>
  </w:num>
  <w:num w:numId="17" w16cid:durableId="1069427642">
    <w:abstractNumId w:val="32"/>
  </w:num>
  <w:num w:numId="18" w16cid:durableId="1874415200">
    <w:abstractNumId w:val="30"/>
  </w:num>
  <w:num w:numId="19" w16cid:durableId="228931519">
    <w:abstractNumId w:val="38"/>
  </w:num>
  <w:num w:numId="20" w16cid:durableId="1723091846">
    <w:abstractNumId w:val="9"/>
  </w:num>
  <w:num w:numId="21" w16cid:durableId="241762332">
    <w:abstractNumId w:val="23"/>
  </w:num>
  <w:num w:numId="22" w16cid:durableId="1273628953">
    <w:abstractNumId w:val="2"/>
  </w:num>
  <w:num w:numId="23" w16cid:durableId="1433016067">
    <w:abstractNumId w:val="40"/>
  </w:num>
  <w:num w:numId="24" w16cid:durableId="289214236">
    <w:abstractNumId w:val="27"/>
  </w:num>
  <w:num w:numId="25" w16cid:durableId="1140422469">
    <w:abstractNumId w:val="11"/>
  </w:num>
  <w:num w:numId="26" w16cid:durableId="906961042">
    <w:abstractNumId w:val="7"/>
  </w:num>
  <w:num w:numId="27" w16cid:durableId="2135365669">
    <w:abstractNumId w:val="18"/>
  </w:num>
  <w:num w:numId="28" w16cid:durableId="1381174842">
    <w:abstractNumId w:val="15"/>
  </w:num>
  <w:num w:numId="29" w16cid:durableId="954601300">
    <w:abstractNumId w:val="36"/>
  </w:num>
  <w:num w:numId="30" w16cid:durableId="858661157">
    <w:abstractNumId w:val="22"/>
  </w:num>
  <w:num w:numId="31" w16cid:durableId="825365161">
    <w:abstractNumId w:val="0"/>
  </w:num>
  <w:num w:numId="32" w16cid:durableId="543760627">
    <w:abstractNumId w:val="33"/>
  </w:num>
  <w:num w:numId="33" w16cid:durableId="2011131162">
    <w:abstractNumId w:val="31"/>
  </w:num>
  <w:num w:numId="34" w16cid:durableId="1756516340">
    <w:abstractNumId w:val="24"/>
  </w:num>
  <w:num w:numId="35" w16cid:durableId="1568110023">
    <w:abstractNumId w:val="43"/>
  </w:num>
  <w:num w:numId="36" w16cid:durableId="1725369227">
    <w:abstractNumId w:val="5"/>
  </w:num>
  <w:num w:numId="37" w16cid:durableId="302932881">
    <w:abstractNumId w:val="26"/>
  </w:num>
  <w:num w:numId="38" w16cid:durableId="1562060984">
    <w:abstractNumId w:val="1"/>
  </w:num>
  <w:num w:numId="39" w16cid:durableId="1576549665">
    <w:abstractNumId w:val="4"/>
  </w:num>
  <w:num w:numId="40" w16cid:durableId="66003381">
    <w:abstractNumId w:val="29"/>
  </w:num>
  <w:num w:numId="41" w16cid:durableId="384527307">
    <w:abstractNumId w:val="17"/>
  </w:num>
  <w:num w:numId="42" w16cid:durableId="371542348">
    <w:abstractNumId w:val="8"/>
  </w:num>
  <w:num w:numId="43" w16cid:durableId="1866402104">
    <w:abstractNumId w:val="28"/>
  </w:num>
  <w:num w:numId="44" w16cid:durableId="2122722050">
    <w:abstractNumId w:val="14"/>
  </w:num>
  <w:num w:numId="45" w16cid:durableId="322663014">
    <w:abstractNumId w:val="35"/>
  </w:num>
  <w:num w:numId="46" w16cid:durableId="1307571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3D54"/>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2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5A5"/>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BD9"/>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A4F"/>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1EE"/>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66F"/>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054"/>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0DF2"/>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72"/>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81A"/>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144"/>
    <w:rsid w:val="0053768D"/>
    <w:rsid w:val="005378AE"/>
    <w:rsid w:val="00537F2E"/>
    <w:rsid w:val="00537F98"/>
    <w:rsid w:val="0054008E"/>
    <w:rsid w:val="005403D8"/>
    <w:rsid w:val="00540AD9"/>
    <w:rsid w:val="00540F63"/>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17B"/>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C92"/>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59"/>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3FEC"/>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AEF"/>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888"/>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A7AC6"/>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D7D6F"/>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E66"/>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6"/>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6D"/>
    <w:rsid w:val="009208FF"/>
    <w:rsid w:val="00920B4E"/>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90F"/>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2F0"/>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2EB5"/>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A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2CC8"/>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6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97D6E"/>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6C9"/>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AB2"/>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9EF"/>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B62"/>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94B"/>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696"/>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0F2"/>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004"/>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AE0"/>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11958262">
      <w:bodyDiv w:val="1"/>
      <w:marLeft w:val="0"/>
      <w:marRight w:val="0"/>
      <w:marTop w:val="0"/>
      <w:marBottom w:val="0"/>
      <w:divBdr>
        <w:top w:val="none" w:sz="0" w:space="0" w:color="auto"/>
        <w:left w:val="none" w:sz="0" w:space="0" w:color="auto"/>
        <w:bottom w:val="none" w:sz="0" w:space="0" w:color="auto"/>
        <w:right w:val="none" w:sz="0" w:space="0" w:color="auto"/>
      </w:divBdr>
      <w:divsChild>
        <w:div w:id="1479565606">
          <w:marLeft w:val="547"/>
          <w:marRight w:val="0"/>
          <w:marTop w:val="0"/>
          <w:marBottom w:val="0"/>
          <w:divBdr>
            <w:top w:val="none" w:sz="0" w:space="0" w:color="auto"/>
            <w:left w:val="none" w:sz="0" w:space="0" w:color="auto"/>
            <w:bottom w:val="none" w:sz="0" w:space="0" w:color="auto"/>
            <w:right w:val="none" w:sz="0" w:space="0" w:color="auto"/>
          </w:divBdr>
        </w:div>
        <w:div w:id="2113478780">
          <w:marLeft w:val="1166"/>
          <w:marRight w:val="0"/>
          <w:marTop w:val="0"/>
          <w:marBottom w:val="0"/>
          <w:divBdr>
            <w:top w:val="none" w:sz="0" w:space="0" w:color="auto"/>
            <w:left w:val="none" w:sz="0" w:space="0" w:color="auto"/>
            <w:bottom w:val="none" w:sz="0" w:space="0" w:color="auto"/>
            <w:right w:val="none" w:sz="0" w:space="0" w:color="auto"/>
          </w:divBdr>
        </w:div>
        <w:div w:id="2042970335">
          <w:marLeft w:val="1800"/>
          <w:marRight w:val="0"/>
          <w:marTop w:val="0"/>
          <w:marBottom w:val="0"/>
          <w:divBdr>
            <w:top w:val="none" w:sz="0" w:space="0" w:color="auto"/>
            <w:left w:val="none" w:sz="0" w:space="0" w:color="auto"/>
            <w:bottom w:val="none" w:sz="0" w:space="0" w:color="auto"/>
            <w:right w:val="none" w:sz="0" w:space="0" w:color="auto"/>
          </w:divBdr>
        </w:div>
        <w:div w:id="105468661">
          <w:marLeft w:val="2520"/>
          <w:marRight w:val="0"/>
          <w:marTop w:val="0"/>
          <w:marBottom w:val="0"/>
          <w:divBdr>
            <w:top w:val="none" w:sz="0" w:space="0" w:color="auto"/>
            <w:left w:val="none" w:sz="0" w:space="0" w:color="auto"/>
            <w:bottom w:val="none" w:sz="0" w:space="0" w:color="auto"/>
            <w:right w:val="none" w:sz="0" w:space="0" w:color="auto"/>
          </w:divBdr>
        </w:div>
        <w:div w:id="30308301">
          <w:marLeft w:val="2520"/>
          <w:marRight w:val="0"/>
          <w:marTop w:val="0"/>
          <w:marBottom w:val="0"/>
          <w:divBdr>
            <w:top w:val="none" w:sz="0" w:space="0" w:color="auto"/>
            <w:left w:val="none" w:sz="0" w:space="0" w:color="auto"/>
            <w:bottom w:val="none" w:sz="0" w:space="0" w:color="auto"/>
            <w:right w:val="none" w:sz="0" w:space="0" w:color="auto"/>
          </w:divBdr>
        </w:div>
        <w:div w:id="218247686">
          <w:marLeft w:val="3240"/>
          <w:marRight w:val="0"/>
          <w:marTop w:val="0"/>
          <w:marBottom w:val="0"/>
          <w:divBdr>
            <w:top w:val="none" w:sz="0" w:space="0" w:color="auto"/>
            <w:left w:val="none" w:sz="0" w:space="0" w:color="auto"/>
            <w:bottom w:val="none" w:sz="0" w:space="0" w:color="auto"/>
            <w:right w:val="none" w:sz="0" w:space="0" w:color="auto"/>
          </w:divBdr>
        </w:div>
        <w:div w:id="66003123">
          <w:marLeft w:val="2520"/>
          <w:marRight w:val="0"/>
          <w:marTop w:val="0"/>
          <w:marBottom w:val="0"/>
          <w:divBdr>
            <w:top w:val="none" w:sz="0" w:space="0" w:color="auto"/>
            <w:left w:val="none" w:sz="0" w:space="0" w:color="auto"/>
            <w:bottom w:val="none" w:sz="0" w:space="0" w:color="auto"/>
            <w:right w:val="none" w:sz="0" w:space="0" w:color="auto"/>
          </w:divBdr>
        </w:div>
        <w:div w:id="319189216">
          <w:marLeft w:val="2520"/>
          <w:marRight w:val="0"/>
          <w:marTop w:val="0"/>
          <w:marBottom w:val="0"/>
          <w:divBdr>
            <w:top w:val="none" w:sz="0" w:space="0" w:color="auto"/>
            <w:left w:val="none" w:sz="0" w:space="0" w:color="auto"/>
            <w:bottom w:val="none" w:sz="0" w:space="0" w:color="auto"/>
            <w:right w:val="none" w:sz="0" w:space="0" w:color="auto"/>
          </w:divBdr>
        </w:div>
        <w:div w:id="1776248857">
          <w:marLeft w:val="2520"/>
          <w:marRight w:val="0"/>
          <w:marTop w:val="0"/>
          <w:marBottom w:val="0"/>
          <w:divBdr>
            <w:top w:val="none" w:sz="0" w:space="0" w:color="auto"/>
            <w:left w:val="none" w:sz="0" w:space="0" w:color="auto"/>
            <w:bottom w:val="none" w:sz="0" w:space="0" w:color="auto"/>
            <w:right w:val="none" w:sz="0" w:space="0" w:color="auto"/>
          </w:divBdr>
        </w:div>
        <w:div w:id="847671513">
          <w:marLeft w:val="2520"/>
          <w:marRight w:val="0"/>
          <w:marTop w:val="0"/>
          <w:marBottom w:val="0"/>
          <w:divBdr>
            <w:top w:val="none" w:sz="0" w:space="0" w:color="auto"/>
            <w:left w:val="none" w:sz="0" w:space="0" w:color="auto"/>
            <w:bottom w:val="none" w:sz="0" w:space="0" w:color="auto"/>
            <w:right w:val="none" w:sz="0" w:space="0" w:color="auto"/>
          </w:divBdr>
        </w:div>
      </w:divsChild>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74781519">
      <w:bodyDiv w:val="1"/>
      <w:marLeft w:val="0"/>
      <w:marRight w:val="0"/>
      <w:marTop w:val="0"/>
      <w:marBottom w:val="0"/>
      <w:divBdr>
        <w:top w:val="none" w:sz="0" w:space="0" w:color="auto"/>
        <w:left w:val="none" w:sz="0" w:space="0" w:color="auto"/>
        <w:bottom w:val="none" w:sz="0" w:space="0" w:color="auto"/>
        <w:right w:val="none" w:sz="0" w:space="0" w:color="auto"/>
      </w:divBdr>
      <w:divsChild>
        <w:div w:id="915238449">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1994218502">
      <w:bodyDiv w:val="1"/>
      <w:marLeft w:val="0"/>
      <w:marRight w:val="0"/>
      <w:marTop w:val="0"/>
      <w:marBottom w:val="0"/>
      <w:divBdr>
        <w:top w:val="none" w:sz="0" w:space="0" w:color="auto"/>
        <w:left w:val="none" w:sz="0" w:space="0" w:color="auto"/>
        <w:bottom w:val="none" w:sz="0" w:space="0" w:color="auto"/>
        <w:right w:val="none" w:sz="0" w:space="0" w:color="auto"/>
      </w:divBdr>
      <w:divsChild>
        <w:div w:id="1081878977">
          <w:marLeft w:val="821"/>
          <w:marRight w:val="0"/>
          <w:marTop w:val="0"/>
          <w:marBottom w:val="0"/>
          <w:divBdr>
            <w:top w:val="none" w:sz="0" w:space="0" w:color="auto"/>
            <w:left w:val="none" w:sz="0" w:space="0" w:color="auto"/>
            <w:bottom w:val="none" w:sz="0" w:space="0" w:color="auto"/>
            <w:right w:val="none" w:sz="0" w:space="0" w:color="auto"/>
          </w:divBdr>
        </w:div>
        <w:div w:id="740257580">
          <w:marLeft w:val="1080"/>
          <w:marRight w:val="0"/>
          <w:marTop w:val="0"/>
          <w:marBottom w:val="0"/>
          <w:divBdr>
            <w:top w:val="none" w:sz="0" w:space="0" w:color="auto"/>
            <w:left w:val="none" w:sz="0" w:space="0" w:color="auto"/>
            <w:bottom w:val="none" w:sz="0" w:space="0" w:color="auto"/>
            <w:right w:val="none" w:sz="0" w:space="0" w:color="auto"/>
          </w:divBdr>
        </w:div>
        <w:div w:id="1506896345">
          <w:marLeft w:val="1080"/>
          <w:marRight w:val="0"/>
          <w:marTop w:val="0"/>
          <w:marBottom w:val="0"/>
          <w:divBdr>
            <w:top w:val="none" w:sz="0" w:space="0" w:color="auto"/>
            <w:left w:val="none" w:sz="0" w:space="0" w:color="auto"/>
            <w:bottom w:val="none" w:sz="0" w:space="0" w:color="auto"/>
            <w:right w:val="none" w:sz="0" w:space="0" w:color="auto"/>
          </w:divBdr>
        </w:div>
        <w:div w:id="843278836">
          <w:marLeft w:val="1080"/>
          <w:marRight w:val="0"/>
          <w:marTop w:val="0"/>
          <w:marBottom w:val="0"/>
          <w:divBdr>
            <w:top w:val="none" w:sz="0" w:space="0" w:color="auto"/>
            <w:left w:val="none" w:sz="0" w:space="0" w:color="auto"/>
            <w:bottom w:val="none" w:sz="0" w:space="0" w:color="auto"/>
            <w:right w:val="none" w:sz="0" w:space="0" w:color="auto"/>
          </w:divBdr>
        </w:div>
        <w:div w:id="1105804082">
          <w:marLeft w:val="821"/>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8986</TotalTime>
  <Pages>1</Pages>
  <Words>463</Words>
  <Characters>2307</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Athens, Greece, February 27 – March 3, 2022</vt:lpstr>
      <vt:lpstr>Introduction</vt:lpstr>
      <vt:lpstr>Discussion</vt:lpstr>
      <vt:lpstr>Conclusions</vt:lpstr>
    </vt:vector>
  </TitlesOfParts>
  <Company>Qualcomm</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600</cp:revision>
  <cp:lastPrinted>2022-09-27T22:38:00Z</cp:lastPrinted>
  <dcterms:created xsi:type="dcterms:W3CDTF">2022-08-08T20:12:00Z</dcterms:created>
  <dcterms:modified xsi:type="dcterms:W3CDTF">2023-04-07T21:22:00Z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